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6284D" w14:textId="5764D989" w:rsidR="004E4D5F" w:rsidRDefault="005C3BB9" w:rsidP="004E4D5F">
      <w:pPr>
        <w:jc w:val="center"/>
        <w:rPr>
          <w:b/>
          <w:bCs/>
          <w:sz w:val="32"/>
          <w:szCs w:val="32"/>
        </w:rPr>
      </w:pPr>
      <w:r w:rsidRPr="001B0ACF">
        <w:rPr>
          <w:b/>
          <w:bCs/>
          <w:sz w:val="32"/>
          <w:szCs w:val="32"/>
        </w:rPr>
        <w:t>East Bridgford Village Hall</w:t>
      </w:r>
    </w:p>
    <w:p w14:paraId="51E8F56B" w14:textId="4D05E256" w:rsidR="00777817" w:rsidRPr="001B0ACF" w:rsidRDefault="005D4570" w:rsidP="00777817">
      <w:pPr>
        <w:jc w:val="center"/>
        <w:rPr>
          <w:b/>
          <w:bCs/>
          <w:sz w:val="32"/>
          <w:szCs w:val="32"/>
        </w:rPr>
      </w:pPr>
      <w:r w:rsidRPr="001B0ACF">
        <w:rPr>
          <w:b/>
          <w:bCs/>
          <w:sz w:val="32"/>
          <w:szCs w:val="32"/>
        </w:rPr>
        <w:t xml:space="preserve">Control </w:t>
      </w:r>
      <w:r w:rsidR="00001A75">
        <w:rPr>
          <w:b/>
          <w:bCs/>
          <w:sz w:val="32"/>
          <w:szCs w:val="32"/>
        </w:rPr>
        <w:t>O</w:t>
      </w:r>
      <w:r w:rsidRPr="001B0ACF">
        <w:rPr>
          <w:b/>
          <w:bCs/>
          <w:sz w:val="32"/>
          <w:szCs w:val="32"/>
        </w:rPr>
        <w:t xml:space="preserve">f </w:t>
      </w:r>
      <w:r w:rsidR="004E4D5F">
        <w:rPr>
          <w:b/>
          <w:bCs/>
          <w:sz w:val="32"/>
          <w:szCs w:val="32"/>
        </w:rPr>
        <w:t>H</w:t>
      </w:r>
      <w:r w:rsidRPr="001B0ACF">
        <w:rPr>
          <w:b/>
          <w:bCs/>
          <w:sz w:val="32"/>
          <w:szCs w:val="32"/>
        </w:rPr>
        <w:t xml:space="preserve">ot </w:t>
      </w:r>
      <w:r w:rsidR="004E4D5F">
        <w:rPr>
          <w:b/>
          <w:bCs/>
          <w:sz w:val="32"/>
          <w:szCs w:val="32"/>
        </w:rPr>
        <w:t>W</w:t>
      </w:r>
      <w:r w:rsidRPr="001B0ACF">
        <w:rPr>
          <w:b/>
          <w:bCs/>
          <w:sz w:val="32"/>
          <w:szCs w:val="32"/>
        </w:rPr>
        <w:t>ork</w:t>
      </w:r>
      <w:r w:rsidR="005C3BB9" w:rsidRPr="001B0ACF">
        <w:rPr>
          <w:b/>
          <w:bCs/>
          <w:sz w:val="32"/>
          <w:szCs w:val="32"/>
        </w:rPr>
        <w:t xml:space="preserve"> </w:t>
      </w:r>
      <w:r w:rsidR="00001A75">
        <w:rPr>
          <w:b/>
          <w:bCs/>
          <w:sz w:val="32"/>
          <w:szCs w:val="32"/>
        </w:rPr>
        <w:t>P</w:t>
      </w:r>
      <w:r w:rsidR="00777817">
        <w:rPr>
          <w:b/>
          <w:bCs/>
          <w:sz w:val="32"/>
          <w:szCs w:val="32"/>
        </w:rPr>
        <w:t>olicy</w:t>
      </w:r>
    </w:p>
    <w:p w14:paraId="22A40C7B" w14:textId="04E96A84" w:rsidR="005D4570" w:rsidRPr="002B48CE" w:rsidRDefault="005D4570" w:rsidP="005D4570">
      <w:pPr>
        <w:rPr>
          <w:b/>
          <w:bCs/>
          <w:sz w:val="28"/>
          <w:szCs w:val="28"/>
        </w:rPr>
      </w:pPr>
      <w:r w:rsidRPr="002B48CE">
        <w:rPr>
          <w:b/>
          <w:bCs/>
          <w:sz w:val="28"/>
          <w:szCs w:val="28"/>
        </w:rPr>
        <w:t xml:space="preserve">Scope </w:t>
      </w:r>
      <w:r w:rsidR="00E11EF0">
        <w:rPr>
          <w:b/>
          <w:bCs/>
          <w:sz w:val="28"/>
          <w:szCs w:val="28"/>
        </w:rPr>
        <w:t>&amp; A</w:t>
      </w:r>
      <w:r w:rsidRPr="002B48CE">
        <w:rPr>
          <w:b/>
          <w:bCs/>
          <w:sz w:val="28"/>
          <w:szCs w:val="28"/>
        </w:rPr>
        <w:t xml:space="preserve">pplication </w:t>
      </w:r>
    </w:p>
    <w:p w14:paraId="5CCF0640" w14:textId="72F4239E" w:rsidR="005D4570" w:rsidRDefault="005D4570" w:rsidP="005D4570">
      <w:r>
        <w:t xml:space="preserve">This document sets out the requirements for </w:t>
      </w:r>
      <w:r w:rsidR="00357ABA">
        <w:t>H</w:t>
      </w:r>
      <w:r>
        <w:t xml:space="preserve">ot </w:t>
      </w:r>
      <w:r w:rsidR="00357ABA">
        <w:t>W</w:t>
      </w:r>
      <w:r>
        <w:t xml:space="preserve">ork </w:t>
      </w:r>
      <w:r w:rsidR="00960B59">
        <w:t>activities</w:t>
      </w:r>
      <w:r>
        <w:t xml:space="preserve"> </w:t>
      </w:r>
      <w:r w:rsidR="005C3BB9">
        <w:t>at</w:t>
      </w:r>
      <w:r>
        <w:t xml:space="preserve"> </w:t>
      </w:r>
      <w:r w:rsidR="005C3BB9">
        <w:t>East Bridgford Village Hall.</w:t>
      </w:r>
      <w:r>
        <w:t xml:space="preserve">   </w:t>
      </w:r>
    </w:p>
    <w:p w14:paraId="39CCB3AE" w14:textId="77777777" w:rsidR="005C3BB9" w:rsidRDefault="005C3BB9" w:rsidP="005D4570">
      <w:r w:rsidRPr="005C3BB9">
        <w:t xml:space="preserve">'Hot Work' is an activity that produces open flames, heat or sparks that is not included in the village hall fire safety risk assessment.  </w:t>
      </w:r>
    </w:p>
    <w:p w14:paraId="0FAE2427" w14:textId="68EF0D90" w:rsidR="005D4570" w:rsidRDefault="005D4570" w:rsidP="005D4570">
      <w:r>
        <w:t xml:space="preserve">Examples include brazing, </w:t>
      </w:r>
      <w:r w:rsidR="00777817">
        <w:t xml:space="preserve">gas </w:t>
      </w:r>
      <w:r>
        <w:t xml:space="preserve">cutting, grinding, soldering, welding, torch applied roofing and the use of bitumen boilers.   </w:t>
      </w:r>
    </w:p>
    <w:p w14:paraId="6457475C" w14:textId="0BC3A15F" w:rsidR="004E4D5F" w:rsidRPr="002B48CE" w:rsidRDefault="004E4D5F" w:rsidP="005D4570">
      <w:pPr>
        <w:rPr>
          <w:b/>
          <w:bCs/>
          <w:sz w:val="28"/>
          <w:szCs w:val="28"/>
        </w:rPr>
      </w:pPr>
      <w:r w:rsidRPr="002B48CE">
        <w:rPr>
          <w:b/>
          <w:bCs/>
          <w:sz w:val="28"/>
          <w:szCs w:val="28"/>
        </w:rPr>
        <w:t xml:space="preserve">Roles </w:t>
      </w:r>
      <w:r w:rsidR="00E11EF0">
        <w:rPr>
          <w:b/>
          <w:bCs/>
          <w:sz w:val="28"/>
          <w:szCs w:val="28"/>
        </w:rPr>
        <w:t>&amp;</w:t>
      </w:r>
      <w:r w:rsidRPr="002B48CE">
        <w:rPr>
          <w:b/>
          <w:bCs/>
          <w:sz w:val="28"/>
          <w:szCs w:val="28"/>
        </w:rPr>
        <w:t xml:space="preserve"> Responsibilities</w:t>
      </w:r>
    </w:p>
    <w:p w14:paraId="51575A8F" w14:textId="61E16186" w:rsidR="004E4D5F" w:rsidRPr="00F01D61" w:rsidRDefault="005C3BB9" w:rsidP="004E4D5F">
      <w:pPr>
        <w:pStyle w:val="ListParagraph"/>
        <w:numPr>
          <w:ilvl w:val="0"/>
          <w:numId w:val="1"/>
        </w:numPr>
        <w:rPr>
          <w:b/>
          <w:bCs/>
        </w:rPr>
      </w:pPr>
      <w:r w:rsidRPr="00F01D61">
        <w:rPr>
          <w:b/>
          <w:bCs/>
        </w:rPr>
        <w:t>The Village Hall Management Committee</w:t>
      </w:r>
      <w:r w:rsidR="00810293" w:rsidRPr="00F01D61">
        <w:rPr>
          <w:b/>
          <w:bCs/>
        </w:rPr>
        <w:t xml:space="preserve"> is responsible </w:t>
      </w:r>
      <w:proofErr w:type="gramStart"/>
      <w:r w:rsidR="00810293" w:rsidRPr="00F01D61">
        <w:rPr>
          <w:b/>
          <w:bCs/>
        </w:rPr>
        <w:t>for</w:t>
      </w:r>
      <w:r w:rsidR="004E4D5F" w:rsidRPr="00F01D61">
        <w:rPr>
          <w:b/>
          <w:bCs/>
        </w:rPr>
        <w:t>:-</w:t>
      </w:r>
      <w:proofErr w:type="gramEnd"/>
    </w:p>
    <w:p w14:paraId="281DA7F1" w14:textId="2E0B0738" w:rsidR="005D4570" w:rsidRDefault="004E4D5F" w:rsidP="004E4D5F">
      <w:pPr>
        <w:pStyle w:val="ListParagraph"/>
        <w:numPr>
          <w:ilvl w:val="1"/>
          <w:numId w:val="1"/>
        </w:numPr>
      </w:pPr>
      <w:r>
        <w:t>E</w:t>
      </w:r>
      <w:r w:rsidR="005D4570">
        <w:t xml:space="preserve">nsuring compliance with the requirements of this </w:t>
      </w:r>
      <w:r w:rsidR="00277CE2">
        <w:t>policy</w:t>
      </w:r>
      <w:r w:rsidR="00810293">
        <w:t>.</w:t>
      </w:r>
      <w:r w:rsidR="005D4570">
        <w:t xml:space="preserve">   </w:t>
      </w:r>
    </w:p>
    <w:p w14:paraId="14C07F7A" w14:textId="52765180" w:rsidR="005D4570" w:rsidRDefault="004E4D5F" w:rsidP="004E4D5F">
      <w:pPr>
        <w:pStyle w:val="ListParagraph"/>
        <w:numPr>
          <w:ilvl w:val="1"/>
          <w:numId w:val="1"/>
        </w:numPr>
      </w:pPr>
      <w:r>
        <w:t>Appointing ‘P</w:t>
      </w:r>
      <w:r w:rsidR="005D4570">
        <w:t>ersons</w:t>
      </w:r>
      <w:r>
        <w:t>’</w:t>
      </w:r>
      <w:r w:rsidR="005D4570">
        <w:t xml:space="preserve"> to control hot work operations</w:t>
      </w:r>
      <w:r w:rsidR="005C3BB9">
        <w:t xml:space="preserve"> and issue </w:t>
      </w:r>
      <w:r>
        <w:t>h</w:t>
      </w:r>
      <w:r w:rsidR="005C3BB9">
        <w:t xml:space="preserve">ot </w:t>
      </w:r>
      <w:r>
        <w:t>w</w:t>
      </w:r>
      <w:r w:rsidR="005C3BB9">
        <w:t xml:space="preserve">ork permits </w:t>
      </w:r>
      <w:r w:rsidR="004E56F0">
        <w:t xml:space="preserve">(Appendix 1) </w:t>
      </w:r>
      <w:r w:rsidR="005C3BB9">
        <w:t>on behalf of the Management Committee</w:t>
      </w:r>
      <w:r w:rsidR="00810293">
        <w:t>.</w:t>
      </w:r>
      <w:r w:rsidR="005D4570">
        <w:t xml:space="preserve"> </w:t>
      </w:r>
    </w:p>
    <w:p w14:paraId="259618CA" w14:textId="362E2914" w:rsidR="00A03124" w:rsidRDefault="004E4D5F" w:rsidP="004E4D5F">
      <w:pPr>
        <w:pStyle w:val="ListParagraph"/>
        <w:numPr>
          <w:ilvl w:val="1"/>
          <w:numId w:val="1"/>
        </w:numPr>
      </w:pPr>
      <w:r>
        <w:t>Maintaining r</w:t>
      </w:r>
      <w:r w:rsidR="00A27A8C">
        <w:t xml:space="preserve">ecords of </w:t>
      </w:r>
      <w:r w:rsidR="004E56F0">
        <w:t>h</w:t>
      </w:r>
      <w:r w:rsidR="00A27A8C">
        <w:t xml:space="preserve">ot </w:t>
      </w:r>
      <w:r w:rsidR="004E56F0">
        <w:t>w</w:t>
      </w:r>
      <w:r w:rsidR="00A27A8C">
        <w:t>ork permits for a minimum of three years</w:t>
      </w:r>
      <w:r w:rsidR="00810293">
        <w:t>.</w:t>
      </w:r>
    </w:p>
    <w:p w14:paraId="2628E939" w14:textId="17B11DDC" w:rsidR="005D4570" w:rsidRDefault="00022D64" w:rsidP="004E4D5F">
      <w:pPr>
        <w:pStyle w:val="ListParagraph"/>
        <w:numPr>
          <w:ilvl w:val="1"/>
          <w:numId w:val="1"/>
        </w:numPr>
      </w:pPr>
      <w:r>
        <w:t>R</w:t>
      </w:r>
      <w:r w:rsidR="00A03124">
        <w:t xml:space="preserve">eviewing the adequacy of this procedure </w:t>
      </w:r>
      <w:r>
        <w:t xml:space="preserve">periodically </w:t>
      </w:r>
      <w:r w:rsidR="00A03124">
        <w:t xml:space="preserve">and in the event of a </w:t>
      </w:r>
      <w:r>
        <w:t xml:space="preserve">hot </w:t>
      </w:r>
      <w:proofErr w:type="gramStart"/>
      <w:r>
        <w:t xml:space="preserve">work </w:t>
      </w:r>
      <w:r w:rsidR="00277CE2">
        <w:t>related</w:t>
      </w:r>
      <w:proofErr w:type="gramEnd"/>
      <w:r w:rsidR="00277CE2">
        <w:t xml:space="preserve"> </w:t>
      </w:r>
      <w:r w:rsidR="00A03124">
        <w:t>fire.</w:t>
      </w:r>
      <w:r w:rsidR="005D4570">
        <w:t xml:space="preserve"> </w:t>
      </w:r>
    </w:p>
    <w:p w14:paraId="61B3C69C" w14:textId="392F1576" w:rsidR="005D4570" w:rsidRPr="00F01D61" w:rsidRDefault="004E4D5F" w:rsidP="004E4D5F">
      <w:pPr>
        <w:pStyle w:val="ListParagraph"/>
        <w:numPr>
          <w:ilvl w:val="0"/>
          <w:numId w:val="1"/>
        </w:numPr>
        <w:rPr>
          <w:b/>
          <w:bCs/>
        </w:rPr>
      </w:pPr>
      <w:r w:rsidRPr="00F01D61">
        <w:rPr>
          <w:b/>
          <w:bCs/>
        </w:rPr>
        <w:t>Appointed Persons are</w:t>
      </w:r>
      <w:r w:rsidR="005D4570" w:rsidRPr="00F01D61">
        <w:rPr>
          <w:b/>
          <w:bCs/>
        </w:rPr>
        <w:t xml:space="preserve"> responsible </w:t>
      </w:r>
      <w:proofErr w:type="gramStart"/>
      <w:r w:rsidR="005D4570" w:rsidRPr="00F01D61">
        <w:rPr>
          <w:b/>
          <w:bCs/>
        </w:rPr>
        <w:t>for:</w:t>
      </w:r>
      <w:r w:rsidR="00F01D61">
        <w:rPr>
          <w:b/>
          <w:bCs/>
        </w:rPr>
        <w:t>-</w:t>
      </w:r>
      <w:proofErr w:type="gramEnd"/>
    </w:p>
    <w:p w14:paraId="10018856" w14:textId="3FECE38E" w:rsidR="00A27A8C" w:rsidRDefault="004E4D5F" w:rsidP="002B48CE">
      <w:pPr>
        <w:pStyle w:val="ListParagraph"/>
        <w:numPr>
          <w:ilvl w:val="1"/>
          <w:numId w:val="1"/>
        </w:numPr>
      </w:pPr>
      <w:proofErr w:type="gramStart"/>
      <w:r>
        <w:t>P</w:t>
      </w:r>
      <w:r w:rsidR="005D4570">
        <w:t>ersonally</w:t>
      </w:r>
      <w:proofErr w:type="gramEnd"/>
      <w:r w:rsidR="005D4570">
        <w:t xml:space="preserve"> inspecting the </w:t>
      </w:r>
      <w:r w:rsidR="00022D64">
        <w:t xml:space="preserve">hot </w:t>
      </w:r>
      <w:r w:rsidR="005D4570">
        <w:t xml:space="preserve">work </w:t>
      </w:r>
      <w:r w:rsidR="00022D64">
        <w:t>location</w:t>
      </w:r>
      <w:r w:rsidR="002B48CE">
        <w:t xml:space="preserve"> prior to d</w:t>
      </w:r>
      <w:r w:rsidR="00A27A8C">
        <w:t>etermin</w:t>
      </w:r>
      <w:r w:rsidR="002B48CE">
        <w:t xml:space="preserve">ing the </w:t>
      </w:r>
      <w:r w:rsidR="00A27A8C">
        <w:t xml:space="preserve">control measure to prevent </w:t>
      </w:r>
      <w:r w:rsidR="001B0ACF">
        <w:t>a</w:t>
      </w:r>
      <w:r w:rsidR="00A27A8C">
        <w:t xml:space="preserve"> </w:t>
      </w:r>
      <w:r w:rsidR="002B48CE">
        <w:t>fire</w:t>
      </w:r>
      <w:r w:rsidR="00810293">
        <w:t>.</w:t>
      </w:r>
    </w:p>
    <w:p w14:paraId="6D6D06D2" w14:textId="6CB8D96A" w:rsidR="005D4570" w:rsidRDefault="001B0ACF" w:rsidP="002B48CE">
      <w:pPr>
        <w:pStyle w:val="ListParagraph"/>
        <w:numPr>
          <w:ilvl w:val="1"/>
          <w:numId w:val="1"/>
        </w:numPr>
      </w:pPr>
      <w:r>
        <w:t>V</w:t>
      </w:r>
      <w:r w:rsidR="005D4570">
        <w:t xml:space="preserve">erifying that </w:t>
      </w:r>
      <w:r w:rsidR="002B48CE">
        <w:t>a</w:t>
      </w:r>
      <w:r w:rsidR="005D4570">
        <w:t xml:space="preserve"> fire watchperson</w:t>
      </w:r>
      <w:r w:rsidR="002B48CE">
        <w:t xml:space="preserve"> is</w:t>
      </w:r>
      <w:r w:rsidR="005D4570">
        <w:t xml:space="preserve"> available for the duration of the task</w:t>
      </w:r>
      <w:r w:rsidR="002B48CE">
        <w:t xml:space="preserve"> </w:t>
      </w:r>
      <w:r w:rsidR="005D4570">
        <w:t xml:space="preserve">including the post-completion monitoring period </w:t>
      </w:r>
      <w:r w:rsidR="002B48CE">
        <w:t>(minimum 30 mins).</w:t>
      </w:r>
    </w:p>
    <w:p w14:paraId="56FDF00C" w14:textId="7965B4FC" w:rsidR="001B0ACF" w:rsidRDefault="001B0ACF" w:rsidP="004E4D5F">
      <w:pPr>
        <w:pStyle w:val="ListParagraph"/>
        <w:numPr>
          <w:ilvl w:val="1"/>
          <w:numId w:val="1"/>
        </w:numPr>
      </w:pPr>
      <w:r>
        <w:t>Determining the type of firefighting equipment required for the job</w:t>
      </w:r>
      <w:r w:rsidR="002B48CE">
        <w:t>.</w:t>
      </w:r>
    </w:p>
    <w:p w14:paraId="0C7ABDCC" w14:textId="24CD57F9" w:rsidR="00277CE2" w:rsidRDefault="002B48CE" w:rsidP="002B48CE">
      <w:pPr>
        <w:pStyle w:val="ListParagraph"/>
        <w:numPr>
          <w:ilvl w:val="1"/>
          <w:numId w:val="1"/>
        </w:numPr>
      </w:pPr>
      <w:r>
        <w:t>Completing the hot work permit</w:t>
      </w:r>
      <w:r w:rsidR="00777817">
        <w:t xml:space="preserve"> </w:t>
      </w:r>
      <w:r w:rsidR="00277CE2">
        <w:t>and a</w:t>
      </w:r>
      <w:r w:rsidR="00777817">
        <w:t>uthorising the work to commence</w:t>
      </w:r>
      <w:r w:rsidR="00277CE2">
        <w:t>.</w:t>
      </w:r>
    </w:p>
    <w:p w14:paraId="0E9F374B" w14:textId="61DD7176" w:rsidR="002B48CE" w:rsidRDefault="00277CE2" w:rsidP="002B48CE">
      <w:pPr>
        <w:pStyle w:val="ListParagraph"/>
        <w:numPr>
          <w:ilvl w:val="1"/>
          <w:numId w:val="1"/>
        </w:numPr>
      </w:pPr>
      <w:r>
        <w:t>C</w:t>
      </w:r>
      <w:r w:rsidR="00777817">
        <w:t xml:space="preserve">ancelling the </w:t>
      </w:r>
      <w:r>
        <w:t xml:space="preserve">hot work </w:t>
      </w:r>
      <w:r w:rsidR="00777817">
        <w:t>permit when the work has been completed</w:t>
      </w:r>
      <w:r w:rsidR="00810293">
        <w:t>.</w:t>
      </w:r>
    </w:p>
    <w:p w14:paraId="2FA467EA" w14:textId="77777777" w:rsidR="002B48CE" w:rsidRDefault="002B48CE" w:rsidP="002B48CE">
      <w:pPr>
        <w:pStyle w:val="ListParagraph"/>
        <w:numPr>
          <w:ilvl w:val="1"/>
          <w:numId w:val="1"/>
        </w:numPr>
      </w:pPr>
      <w:r>
        <w:t>C</w:t>
      </w:r>
      <w:r w:rsidR="005D4570">
        <w:t xml:space="preserve">ommunicating the hot work permit requirements to </w:t>
      </w:r>
      <w:r w:rsidR="001B0ACF">
        <w:t>those undertaking the task</w:t>
      </w:r>
      <w:r>
        <w:t>.</w:t>
      </w:r>
    </w:p>
    <w:p w14:paraId="74A130D5" w14:textId="77777777" w:rsidR="002B48CE" w:rsidRDefault="001B0ACF" w:rsidP="005D4570">
      <w:pPr>
        <w:pStyle w:val="ListParagraph"/>
        <w:numPr>
          <w:ilvl w:val="1"/>
          <w:numId w:val="1"/>
        </w:numPr>
      </w:pPr>
      <w:r>
        <w:t>Verifying</w:t>
      </w:r>
      <w:r w:rsidR="005D4570">
        <w:t xml:space="preserve"> that all measures stipulated on the hot work permit are in place</w:t>
      </w:r>
      <w:r w:rsidR="002B48CE">
        <w:t>.</w:t>
      </w:r>
    </w:p>
    <w:p w14:paraId="0834EB64" w14:textId="1096FCBD" w:rsidR="002B48CE" w:rsidRDefault="001B0ACF" w:rsidP="005D4570">
      <w:pPr>
        <w:pStyle w:val="ListParagraph"/>
        <w:numPr>
          <w:ilvl w:val="1"/>
          <w:numId w:val="1"/>
        </w:numPr>
      </w:pPr>
      <w:r>
        <w:t>E</w:t>
      </w:r>
      <w:r w:rsidR="005D4570">
        <w:t xml:space="preserve">nsuring all persons within the workgroup understand the means </w:t>
      </w:r>
      <w:r w:rsidR="00277CE2">
        <w:t>for</w:t>
      </w:r>
      <w:r w:rsidR="005D4570">
        <w:t xml:space="preserve"> raising the alarm and escape in the event of an incident</w:t>
      </w:r>
      <w:r w:rsidR="00810293">
        <w:t>.</w:t>
      </w:r>
    </w:p>
    <w:p w14:paraId="7E3D5B8F" w14:textId="2A1AD205" w:rsidR="002B48CE" w:rsidRDefault="00022D64" w:rsidP="00022D64">
      <w:pPr>
        <w:pStyle w:val="ListParagraph"/>
        <w:numPr>
          <w:ilvl w:val="1"/>
          <w:numId w:val="1"/>
        </w:numPr>
      </w:pPr>
      <w:r>
        <w:t xml:space="preserve">Determining whether fire alarm systems need to be disarmed for the duration of the hot work activity and ensuring </w:t>
      </w:r>
      <w:r w:rsidR="000102BD">
        <w:t>they are</w:t>
      </w:r>
      <w:r>
        <w:t xml:space="preserve"> r</w:t>
      </w:r>
      <w:r w:rsidR="005D4570">
        <w:t>einstat</w:t>
      </w:r>
      <w:r>
        <w:t>ed on completion</w:t>
      </w:r>
      <w:r w:rsidR="000102BD">
        <w:t xml:space="preserve"> of the work</w:t>
      </w:r>
      <w:r>
        <w:t>.</w:t>
      </w:r>
    </w:p>
    <w:p w14:paraId="5BA5BE27" w14:textId="03C39F15" w:rsidR="005D4570" w:rsidRPr="00810293" w:rsidRDefault="00810293" w:rsidP="005D4570">
      <w:pPr>
        <w:pStyle w:val="ListParagraph"/>
        <w:numPr>
          <w:ilvl w:val="0"/>
          <w:numId w:val="1"/>
        </w:numPr>
        <w:rPr>
          <w:i/>
          <w:iCs/>
        </w:rPr>
      </w:pPr>
      <w:r w:rsidRPr="00F01D61">
        <w:rPr>
          <w:b/>
          <w:bCs/>
        </w:rPr>
        <w:t>The h</w:t>
      </w:r>
      <w:r w:rsidR="005D4570" w:rsidRPr="00F01D61">
        <w:rPr>
          <w:b/>
          <w:bCs/>
        </w:rPr>
        <w:t>ot work operator</w:t>
      </w:r>
      <w:r w:rsidRPr="00F01D61">
        <w:rPr>
          <w:b/>
          <w:bCs/>
        </w:rPr>
        <w:t xml:space="preserve"> is responsible </w:t>
      </w:r>
      <w:proofErr w:type="gramStart"/>
      <w:r w:rsidRPr="00F01D61">
        <w:rPr>
          <w:b/>
          <w:bCs/>
        </w:rPr>
        <w:t>for:-</w:t>
      </w:r>
      <w:proofErr w:type="gramEnd"/>
      <w:r w:rsidR="005D4570">
        <w:t xml:space="preserve"> </w:t>
      </w:r>
    </w:p>
    <w:p w14:paraId="05B7FCD7" w14:textId="00B7A2B7" w:rsidR="00810293" w:rsidRDefault="00810293" w:rsidP="005D4570">
      <w:pPr>
        <w:pStyle w:val="ListParagraph"/>
        <w:numPr>
          <w:ilvl w:val="1"/>
          <w:numId w:val="1"/>
        </w:numPr>
      </w:pPr>
      <w:r>
        <w:t>U</w:t>
      </w:r>
      <w:r w:rsidR="005D4570">
        <w:t>nderstanding the terms, conditions and requirements of the hot work permit and making suitable preparations to meet such requirements</w:t>
      </w:r>
      <w:r>
        <w:t>.</w:t>
      </w:r>
    </w:p>
    <w:p w14:paraId="253349FD" w14:textId="7FC1E003" w:rsidR="00810293" w:rsidRDefault="00810293" w:rsidP="005D4570">
      <w:pPr>
        <w:pStyle w:val="ListParagraph"/>
        <w:numPr>
          <w:ilvl w:val="1"/>
          <w:numId w:val="1"/>
        </w:numPr>
      </w:pPr>
      <w:r>
        <w:t>A</w:t>
      </w:r>
      <w:r w:rsidR="005D4570">
        <w:t>ccepting the hot work permit issued by the permit issuer and complying with the permit conditions</w:t>
      </w:r>
      <w:r>
        <w:t>.</w:t>
      </w:r>
    </w:p>
    <w:p w14:paraId="42AF92FF" w14:textId="77777777" w:rsidR="00810293" w:rsidRDefault="00810293" w:rsidP="005D4570">
      <w:pPr>
        <w:pStyle w:val="ListParagraph"/>
        <w:numPr>
          <w:ilvl w:val="1"/>
          <w:numId w:val="1"/>
        </w:numPr>
      </w:pPr>
      <w:r>
        <w:t>W</w:t>
      </w:r>
      <w:r w:rsidR="005D4570">
        <w:t>orking in conjunction with the fire watchperson(s) allocated to the activity and recognising their authority to stop the hot work activity</w:t>
      </w:r>
      <w:r>
        <w:t>.</w:t>
      </w:r>
    </w:p>
    <w:p w14:paraId="3F777136" w14:textId="3B570B42" w:rsidR="005D4570" w:rsidRDefault="00810293" w:rsidP="005D4570">
      <w:pPr>
        <w:pStyle w:val="ListParagraph"/>
        <w:numPr>
          <w:ilvl w:val="1"/>
          <w:numId w:val="1"/>
        </w:numPr>
      </w:pPr>
      <w:r>
        <w:t>E</w:t>
      </w:r>
      <w:r w:rsidR="005D4570">
        <w:t>nsuring work methods incorporate the safe removal and disposal of any hot debris and cut offs generated by the operational procedure.</w:t>
      </w:r>
      <w:r>
        <w:br/>
      </w:r>
      <w:r w:rsidR="005D4570">
        <w:t xml:space="preserve"> </w:t>
      </w:r>
      <w:r w:rsidR="00F01D61" w:rsidRPr="00810293">
        <w:rPr>
          <w:i/>
          <w:iCs/>
        </w:rPr>
        <w:t xml:space="preserve">(Note </w:t>
      </w:r>
      <w:r w:rsidR="00154584">
        <w:rPr>
          <w:i/>
          <w:iCs/>
        </w:rPr>
        <w:t>–</w:t>
      </w:r>
      <w:r w:rsidR="00F01D61" w:rsidRPr="00810293">
        <w:rPr>
          <w:i/>
          <w:iCs/>
        </w:rPr>
        <w:t xml:space="preserve"> The</w:t>
      </w:r>
      <w:r w:rsidR="00154584">
        <w:rPr>
          <w:i/>
          <w:iCs/>
        </w:rPr>
        <w:t>’</w:t>
      </w:r>
      <w:r w:rsidR="00F01D61" w:rsidRPr="00810293">
        <w:rPr>
          <w:i/>
          <w:iCs/>
        </w:rPr>
        <w:t xml:space="preserve"> hot work operator</w:t>
      </w:r>
      <w:r w:rsidR="00154584">
        <w:rPr>
          <w:i/>
          <w:iCs/>
        </w:rPr>
        <w:t>’</w:t>
      </w:r>
      <w:r w:rsidR="00F01D61" w:rsidRPr="00810293">
        <w:rPr>
          <w:i/>
          <w:iCs/>
        </w:rPr>
        <w:t xml:space="preserve"> is the person </w:t>
      </w:r>
      <w:r w:rsidR="00154584">
        <w:rPr>
          <w:i/>
          <w:iCs/>
        </w:rPr>
        <w:t>who</w:t>
      </w:r>
      <w:r w:rsidR="00F01D61" w:rsidRPr="00810293">
        <w:rPr>
          <w:i/>
          <w:iCs/>
        </w:rPr>
        <w:t xml:space="preserve"> </w:t>
      </w:r>
      <w:r w:rsidR="00154584">
        <w:rPr>
          <w:i/>
          <w:iCs/>
        </w:rPr>
        <w:t>carries out</w:t>
      </w:r>
      <w:r w:rsidR="00F01D61" w:rsidRPr="00810293">
        <w:rPr>
          <w:i/>
          <w:iCs/>
        </w:rPr>
        <w:t xml:space="preserve"> the hot work activity.)</w:t>
      </w:r>
    </w:p>
    <w:p w14:paraId="6DD15814" w14:textId="77777777" w:rsidR="008846FF" w:rsidRDefault="008846FF">
      <w:pPr>
        <w:rPr>
          <w:b/>
          <w:bCs/>
        </w:rPr>
      </w:pPr>
      <w:r>
        <w:rPr>
          <w:b/>
          <w:bCs/>
        </w:rPr>
        <w:br w:type="page"/>
      </w:r>
    </w:p>
    <w:p w14:paraId="643EF038" w14:textId="65CC687C" w:rsidR="005D4570" w:rsidRPr="00F01D61" w:rsidRDefault="009A79EF" w:rsidP="0081029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The f</w:t>
      </w:r>
      <w:r w:rsidR="005D4570" w:rsidRPr="00F01D61">
        <w:rPr>
          <w:b/>
          <w:bCs/>
        </w:rPr>
        <w:t>ire watch</w:t>
      </w:r>
      <w:r>
        <w:rPr>
          <w:b/>
          <w:bCs/>
        </w:rPr>
        <w:t xml:space="preserve"> </w:t>
      </w:r>
      <w:r w:rsidR="005D4570" w:rsidRPr="00F01D61">
        <w:rPr>
          <w:b/>
          <w:bCs/>
        </w:rPr>
        <w:t xml:space="preserve">person </w:t>
      </w:r>
      <w:r w:rsidR="00810293" w:rsidRPr="00F01D61">
        <w:rPr>
          <w:b/>
          <w:bCs/>
        </w:rPr>
        <w:t xml:space="preserve">is responsible </w:t>
      </w:r>
      <w:proofErr w:type="gramStart"/>
      <w:r w:rsidR="00810293" w:rsidRPr="00F01D61">
        <w:rPr>
          <w:b/>
          <w:bCs/>
        </w:rPr>
        <w:t>for:-</w:t>
      </w:r>
      <w:proofErr w:type="gramEnd"/>
    </w:p>
    <w:p w14:paraId="131FE25F" w14:textId="77777777" w:rsidR="009A79EF" w:rsidRDefault="009A79EF" w:rsidP="009A79EF">
      <w:pPr>
        <w:pStyle w:val="ListParagraph"/>
        <w:numPr>
          <w:ilvl w:val="1"/>
          <w:numId w:val="1"/>
        </w:numPr>
      </w:pPr>
      <w:r>
        <w:t xml:space="preserve">Observe the work area throughout the hot work operation and for at least 30 minutes post hot work operations. </w:t>
      </w:r>
    </w:p>
    <w:p w14:paraId="0527FBF1" w14:textId="46915AC8" w:rsidR="009A79EF" w:rsidRDefault="009A79EF" w:rsidP="00810293">
      <w:pPr>
        <w:pStyle w:val="ListParagraph"/>
        <w:numPr>
          <w:ilvl w:val="1"/>
          <w:numId w:val="1"/>
        </w:numPr>
      </w:pPr>
      <w:r>
        <w:t>Stop hot work operations if a potential danger of fire is observed and inform the permit issuer.</w:t>
      </w:r>
    </w:p>
    <w:p w14:paraId="65E3471B" w14:textId="43B15573" w:rsidR="005D4570" w:rsidRDefault="009A79EF" w:rsidP="00810293">
      <w:pPr>
        <w:pStyle w:val="ListParagraph"/>
        <w:numPr>
          <w:ilvl w:val="1"/>
          <w:numId w:val="1"/>
        </w:numPr>
      </w:pPr>
      <w:r>
        <w:t>E</w:t>
      </w:r>
      <w:r w:rsidR="00D015AE">
        <w:t>xtinguish small-scale fires within their capability.</w:t>
      </w:r>
    </w:p>
    <w:p w14:paraId="59454547" w14:textId="2B9EEE39" w:rsidR="005D4570" w:rsidRDefault="00D015AE" w:rsidP="009A79EF">
      <w:pPr>
        <w:pStyle w:val="ListParagraph"/>
        <w:numPr>
          <w:ilvl w:val="1"/>
          <w:numId w:val="1"/>
        </w:numPr>
      </w:pPr>
      <w:r>
        <w:t>E</w:t>
      </w:r>
      <w:r w:rsidR="005D4570">
        <w:t>nsure th</w:t>
      </w:r>
      <w:r>
        <w:t>ey</w:t>
      </w:r>
      <w:r w:rsidR="005D4570">
        <w:t xml:space="preserve"> know where fire </w:t>
      </w:r>
      <w:r>
        <w:t xml:space="preserve">call </w:t>
      </w:r>
      <w:r w:rsidR="005D4570">
        <w:t>points are located and raise the alarm in the</w:t>
      </w:r>
      <w:r>
        <w:t xml:space="preserve"> </w:t>
      </w:r>
      <w:r w:rsidR="005D4570">
        <w:t xml:space="preserve">event </w:t>
      </w:r>
      <w:r>
        <w:t xml:space="preserve">a </w:t>
      </w:r>
      <w:r w:rsidR="005D4570">
        <w:t xml:space="preserve">fire cannot be tackled with the </w:t>
      </w:r>
      <w:r>
        <w:t>firefighting</w:t>
      </w:r>
      <w:r w:rsidR="005D4570">
        <w:t xml:space="preserve"> equipment provided</w:t>
      </w:r>
      <w:r>
        <w:t xml:space="preserve">. </w:t>
      </w:r>
      <w:r w:rsidRPr="00D015AE">
        <w:rPr>
          <w:i/>
          <w:iCs/>
        </w:rPr>
        <w:t xml:space="preserve">(Note: </w:t>
      </w:r>
      <w:r w:rsidR="005D4570" w:rsidRPr="00D015AE">
        <w:rPr>
          <w:i/>
          <w:iCs/>
        </w:rPr>
        <w:t xml:space="preserve">The </w:t>
      </w:r>
      <w:r w:rsidRPr="00D015AE">
        <w:rPr>
          <w:i/>
          <w:iCs/>
        </w:rPr>
        <w:t>deployment</w:t>
      </w:r>
      <w:r w:rsidR="005D4570" w:rsidRPr="00D015AE">
        <w:rPr>
          <w:i/>
          <w:iCs/>
        </w:rPr>
        <w:t xml:space="preserve"> of any fire-fighting equipment is to be reported to the </w:t>
      </w:r>
      <w:r w:rsidRPr="00D015AE">
        <w:rPr>
          <w:i/>
          <w:iCs/>
        </w:rPr>
        <w:t>permit issuer)</w:t>
      </w:r>
      <w:r w:rsidR="005D4570">
        <w:t>.</w:t>
      </w:r>
    </w:p>
    <w:p w14:paraId="22CE0B9D" w14:textId="3C5F1DEB" w:rsidR="005D4570" w:rsidRPr="009A79EF" w:rsidRDefault="005D4570" w:rsidP="005D4570">
      <w:pPr>
        <w:rPr>
          <w:b/>
          <w:bCs/>
          <w:sz w:val="28"/>
          <w:szCs w:val="28"/>
        </w:rPr>
      </w:pPr>
      <w:r w:rsidRPr="00F01D61">
        <w:rPr>
          <w:b/>
          <w:bCs/>
          <w:sz w:val="28"/>
          <w:szCs w:val="28"/>
        </w:rPr>
        <w:t xml:space="preserve">General </w:t>
      </w:r>
      <w:r w:rsidR="00E11EF0">
        <w:rPr>
          <w:b/>
          <w:bCs/>
          <w:sz w:val="28"/>
          <w:szCs w:val="28"/>
        </w:rPr>
        <w:t>R</w:t>
      </w:r>
      <w:r w:rsidRPr="00F01D61">
        <w:rPr>
          <w:b/>
          <w:bCs/>
          <w:sz w:val="28"/>
          <w:szCs w:val="28"/>
        </w:rPr>
        <w:t>equirements</w:t>
      </w:r>
    </w:p>
    <w:p w14:paraId="0296BC8E" w14:textId="67EE2B19" w:rsidR="005D4570" w:rsidRDefault="009A79EF" w:rsidP="00154584">
      <w:pPr>
        <w:pStyle w:val="ListParagraph"/>
        <w:numPr>
          <w:ilvl w:val="0"/>
          <w:numId w:val="5"/>
        </w:numPr>
      </w:pPr>
      <w:r>
        <w:t>Priority</w:t>
      </w:r>
      <w:r w:rsidR="005D4570">
        <w:t xml:space="preserve"> </w:t>
      </w:r>
      <w:r w:rsidR="00001A75">
        <w:t>must</w:t>
      </w:r>
      <w:r w:rsidR="005D4570">
        <w:t xml:space="preserve"> always be given to the avoidance of hot work by adopting cold</w:t>
      </w:r>
      <w:r>
        <w:t xml:space="preserve"> </w:t>
      </w:r>
      <w:r w:rsidR="005D4570">
        <w:t>cutting and jointing techniques where</w:t>
      </w:r>
      <w:r>
        <w:t xml:space="preserve"> every</w:t>
      </w:r>
      <w:r w:rsidR="005D4570">
        <w:t xml:space="preserve"> possible. </w:t>
      </w:r>
    </w:p>
    <w:p w14:paraId="14F797B3" w14:textId="0EB9B3E8" w:rsidR="005D4570" w:rsidRPr="00AD0F81" w:rsidRDefault="005D4570" w:rsidP="00154584">
      <w:pPr>
        <w:pStyle w:val="ListParagraph"/>
        <w:numPr>
          <w:ilvl w:val="0"/>
          <w:numId w:val="5"/>
        </w:numPr>
        <w:rPr>
          <w:i/>
          <w:iCs/>
        </w:rPr>
      </w:pPr>
      <w:r>
        <w:t xml:space="preserve">All hot work requires a hot work </w:t>
      </w:r>
      <w:r w:rsidR="009A79EF">
        <w:t>permit</w:t>
      </w:r>
      <w:r>
        <w:t xml:space="preserve">. </w:t>
      </w:r>
    </w:p>
    <w:p w14:paraId="14B74A32" w14:textId="39F485EE" w:rsidR="00A03124" w:rsidRDefault="00A03124" w:rsidP="00154584">
      <w:pPr>
        <w:pStyle w:val="ListParagraph"/>
        <w:numPr>
          <w:ilvl w:val="0"/>
          <w:numId w:val="5"/>
        </w:numPr>
      </w:pPr>
      <w:r>
        <w:t>The completed hot work permit should be prominently displayed in the village hall for the duration of the hot work activity.</w:t>
      </w:r>
    </w:p>
    <w:p w14:paraId="56A60AF2" w14:textId="77777777" w:rsidR="00A03124" w:rsidRDefault="00A03124" w:rsidP="00154584">
      <w:pPr>
        <w:pStyle w:val="ListParagraph"/>
        <w:numPr>
          <w:ilvl w:val="0"/>
          <w:numId w:val="5"/>
        </w:numPr>
      </w:pPr>
      <w:r>
        <w:t>When the work has been completed the permit should be retained for a minimum period of three years.</w:t>
      </w:r>
    </w:p>
    <w:p w14:paraId="4DABFDFB" w14:textId="004F66EF" w:rsidR="00AD0F81" w:rsidRDefault="002A524D" w:rsidP="00154584">
      <w:pPr>
        <w:pStyle w:val="ListParagraph"/>
        <w:numPr>
          <w:ilvl w:val="0"/>
          <w:numId w:val="5"/>
        </w:numPr>
      </w:pPr>
      <w:r>
        <w:t>Hot work permits are valid for one day</w:t>
      </w:r>
      <w:r w:rsidR="00960B59">
        <w:t xml:space="preserve"> only</w:t>
      </w:r>
      <w:r w:rsidR="00277CE2">
        <w:t xml:space="preserve"> and will be cancelled when the hot work has been completed for that day</w:t>
      </w:r>
      <w:r>
        <w:t xml:space="preserve">. </w:t>
      </w:r>
    </w:p>
    <w:p w14:paraId="311F2C07" w14:textId="77777777" w:rsidR="00AD0F81" w:rsidRDefault="002A524D" w:rsidP="00154584">
      <w:pPr>
        <w:pStyle w:val="ListParagraph"/>
        <w:numPr>
          <w:ilvl w:val="0"/>
          <w:numId w:val="5"/>
        </w:numPr>
      </w:pPr>
      <w:r>
        <w:t>For h</w:t>
      </w:r>
      <w:r w:rsidR="00A03124">
        <w:t xml:space="preserve">ot work tasks that extend beyond the first day of activity </w:t>
      </w:r>
      <w:r w:rsidR="00001A75">
        <w:t xml:space="preserve">a new permit </w:t>
      </w:r>
      <w:r w:rsidR="00A03124">
        <w:t xml:space="preserve">must be </w:t>
      </w:r>
      <w:r w:rsidR="00001A75">
        <w:t>i</w:t>
      </w:r>
      <w:r w:rsidR="00A03124">
        <w:t>ssued</w:t>
      </w:r>
      <w:r>
        <w:t>. This requires</w:t>
      </w:r>
      <w:r w:rsidR="00A03124">
        <w:t xml:space="preserve"> </w:t>
      </w:r>
      <w:r>
        <w:t xml:space="preserve">the permit issuer </w:t>
      </w:r>
      <w:r w:rsidR="00A03124">
        <w:t xml:space="preserve">to physically visit the work area and satisfy themselves that there are no changes in circumstances. </w:t>
      </w:r>
    </w:p>
    <w:p w14:paraId="0470503E" w14:textId="5B4407DA" w:rsidR="00AD0F81" w:rsidRDefault="00AD0F81" w:rsidP="00154584">
      <w:pPr>
        <w:pStyle w:val="ListParagraph"/>
        <w:numPr>
          <w:ilvl w:val="0"/>
          <w:numId w:val="5"/>
        </w:numPr>
      </w:pPr>
      <w:r>
        <w:t xml:space="preserve">Smoke or fumes generated from hot work activities may activate fire </w:t>
      </w:r>
      <w:r w:rsidR="000102BD">
        <w:t>alarm</w:t>
      </w:r>
      <w:r>
        <w:t xml:space="preserve"> systems giving rise to false fire alarms. Consideration should be given to </w:t>
      </w:r>
      <w:r w:rsidR="000102BD">
        <w:t>disarming</w:t>
      </w:r>
      <w:r>
        <w:t xml:space="preserve"> them to avoid accidental activation.</w:t>
      </w:r>
    </w:p>
    <w:p w14:paraId="29025D30" w14:textId="76337D57" w:rsidR="00277CE2" w:rsidRPr="00AD0F81" w:rsidRDefault="00277CE2" w:rsidP="00154584">
      <w:pPr>
        <w:pStyle w:val="ListParagraph"/>
        <w:numPr>
          <w:ilvl w:val="0"/>
          <w:numId w:val="5"/>
        </w:numPr>
      </w:pPr>
      <w:r>
        <w:t xml:space="preserve">If fire detection systems are </w:t>
      </w:r>
      <w:r w:rsidR="000102BD">
        <w:t>disarmed</w:t>
      </w:r>
      <w:r>
        <w:t xml:space="preserve"> for the duration of the hot work </w:t>
      </w:r>
      <w:r w:rsidR="008F4289">
        <w:t>they must be reinstated when the hot work permit is cancelled.</w:t>
      </w:r>
      <w:r>
        <w:t xml:space="preserve"> </w:t>
      </w:r>
    </w:p>
    <w:p w14:paraId="07F3E468" w14:textId="0B4F5824" w:rsidR="005D4570" w:rsidRPr="00AD0F81" w:rsidRDefault="005D4570" w:rsidP="00AD0F81">
      <w:pPr>
        <w:rPr>
          <w:b/>
          <w:bCs/>
          <w:sz w:val="28"/>
          <w:szCs w:val="28"/>
        </w:rPr>
      </w:pPr>
      <w:r w:rsidRPr="00AD0F81">
        <w:rPr>
          <w:b/>
          <w:bCs/>
          <w:sz w:val="28"/>
          <w:szCs w:val="28"/>
        </w:rPr>
        <w:t xml:space="preserve">Basic </w:t>
      </w:r>
      <w:r w:rsidR="00E11EF0">
        <w:rPr>
          <w:b/>
          <w:bCs/>
          <w:sz w:val="28"/>
          <w:szCs w:val="28"/>
        </w:rPr>
        <w:t>P</w:t>
      </w:r>
      <w:r w:rsidRPr="00AD0F81">
        <w:rPr>
          <w:b/>
          <w:bCs/>
          <w:sz w:val="28"/>
          <w:szCs w:val="28"/>
        </w:rPr>
        <w:t xml:space="preserve">rinciples </w:t>
      </w:r>
      <w:proofErr w:type="gramStart"/>
      <w:r w:rsidR="00E11EF0">
        <w:rPr>
          <w:b/>
          <w:bCs/>
          <w:sz w:val="28"/>
          <w:szCs w:val="28"/>
        </w:rPr>
        <w:t>F</w:t>
      </w:r>
      <w:r w:rsidRPr="00AD0F81">
        <w:rPr>
          <w:b/>
          <w:bCs/>
          <w:sz w:val="28"/>
          <w:szCs w:val="28"/>
        </w:rPr>
        <w:t>or</w:t>
      </w:r>
      <w:proofErr w:type="gramEnd"/>
      <w:r w:rsidRPr="00AD0F81">
        <w:rPr>
          <w:b/>
          <w:bCs/>
          <w:sz w:val="28"/>
          <w:szCs w:val="28"/>
        </w:rPr>
        <w:t xml:space="preserve"> </w:t>
      </w:r>
      <w:r w:rsidR="00E11EF0">
        <w:rPr>
          <w:b/>
          <w:bCs/>
          <w:sz w:val="28"/>
          <w:szCs w:val="28"/>
        </w:rPr>
        <w:t>F</w:t>
      </w:r>
      <w:r w:rsidRPr="00AD0F81">
        <w:rPr>
          <w:b/>
          <w:bCs/>
          <w:sz w:val="28"/>
          <w:szCs w:val="28"/>
        </w:rPr>
        <w:t xml:space="preserve">ire </w:t>
      </w:r>
      <w:r w:rsidR="00E11EF0">
        <w:rPr>
          <w:b/>
          <w:bCs/>
          <w:sz w:val="28"/>
          <w:szCs w:val="28"/>
        </w:rPr>
        <w:t>P</w:t>
      </w:r>
      <w:r w:rsidRPr="00AD0F81">
        <w:rPr>
          <w:b/>
          <w:bCs/>
          <w:sz w:val="28"/>
          <w:szCs w:val="28"/>
        </w:rPr>
        <w:t xml:space="preserve">revention </w:t>
      </w:r>
    </w:p>
    <w:p w14:paraId="044F4FBC" w14:textId="77777777" w:rsidR="008846FF" w:rsidRPr="00154584" w:rsidRDefault="005D4570" w:rsidP="00154584">
      <w:pPr>
        <w:pStyle w:val="ListParagraph"/>
        <w:numPr>
          <w:ilvl w:val="0"/>
          <w:numId w:val="6"/>
        </w:numPr>
        <w:rPr>
          <w:b/>
          <w:bCs/>
        </w:rPr>
      </w:pPr>
      <w:r w:rsidRPr="00154584">
        <w:rPr>
          <w:b/>
          <w:bCs/>
        </w:rPr>
        <w:t xml:space="preserve">Fuel </w:t>
      </w:r>
    </w:p>
    <w:p w14:paraId="41A4A3F9" w14:textId="066F2140" w:rsidR="005D4570" w:rsidRDefault="00DF6288" w:rsidP="005D4570">
      <w:r>
        <w:t xml:space="preserve">The first step in managing fuel sources is to eliminate them. </w:t>
      </w:r>
      <w:r w:rsidR="005D4570">
        <w:t xml:space="preserve">Some examples </w:t>
      </w:r>
      <w:r w:rsidR="00B11923">
        <w:t>include</w:t>
      </w:r>
      <w:r>
        <w:t xml:space="preserve"> </w:t>
      </w:r>
      <w:r w:rsidR="00B11923">
        <w:t xml:space="preserve">oil-based </w:t>
      </w:r>
      <w:r w:rsidR="005D4570">
        <w:t>lubricant</w:t>
      </w:r>
      <w:r>
        <w:t>s</w:t>
      </w:r>
      <w:r w:rsidR="005D4570">
        <w:t xml:space="preserve"> and other flammable</w:t>
      </w:r>
      <w:r>
        <w:t xml:space="preserve"> </w:t>
      </w:r>
      <w:r w:rsidR="005D4570">
        <w:t>liquids</w:t>
      </w:r>
      <w:r>
        <w:t xml:space="preserve"> such as paints</w:t>
      </w:r>
      <w:r w:rsidR="005D4570">
        <w:t>,</w:t>
      </w:r>
      <w:r>
        <w:t xml:space="preserve"> </w:t>
      </w:r>
      <w:r w:rsidR="005D4570">
        <w:t>cardboard, packaging and paper, flammable gas cylinders,</w:t>
      </w:r>
      <w:r>
        <w:t xml:space="preserve"> </w:t>
      </w:r>
      <w:r w:rsidR="005D4570">
        <w:t xml:space="preserve">the presence of cables or pipework. </w:t>
      </w:r>
    </w:p>
    <w:p w14:paraId="70EB1E6A" w14:textId="3DCA66FE" w:rsidR="005D4570" w:rsidRDefault="005D4570" w:rsidP="005D4570">
      <w:r>
        <w:t>Ensure any area where hot work will be carried out is free from combustible</w:t>
      </w:r>
      <w:r w:rsidR="00DF6288">
        <w:t xml:space="preserve"> m</w:t>
      </w:r>
      <w:r>
        <w:t xml:space="preserve">aterials and clean with respect to e.g. oils or grease residue, ideally for an area representing an </w:t>
      </w:r>
      <w:r w:rsidR="00DF6288">
        <w:t>5</w:t>
      </w:r>
      <w:r>
        <w:t xml:space="preserve">m radius from the point of hot work. </w:t>
      </w:r>
    </w:p>
    <w:p w14:paraId="5B497E96" w14:textId="18DDF318" w:rsidR="005D4570" w:rsidRDefault="005D4570" w:rsidP="005D4570">
      <w:r>
        <w:t xml:space="preserve">Note that fuel sources may not be at ground level, so consideration must be given to possible fuel sources that may be above or below the work area.  </w:t>
      </w:r>
    </w:p>
    <w:p w14:paraId="1F44A33D" w14:textId="05E3BCBA" w:rsidR="005D4570" w:rsidRDefault="005D4570" w:rsidP="005D4570">
      <w:r>
        <w:t xml:space="preserve">Attention should be given to the presence of gas pipework (valves, </w:t>
      </w:r>
      <w:r w:rsidR="00DF6288">
        <w:t>joints</w:t>
      </w:r>
      <w:r>
        <w:t xml:space="preserve">, </w:t>
      </w:r>
      <w:r w:rsidR="00DF6288">
        <w:t>flanges</w:t>
      </w:r>
      <w:r>
        <w:t xml:space="preserve">) that have the potential for emitting gas as a fuel source due to leakage and fixed materials and structures that may catch fire. </w:t>
      </w:r>
    </w:p>
    <w:p w14:paraId="0A89233B" w14:textId="2DF109B0" w:rsidR="005D4570" w:rsidRDefault="005D4570" w:rsidP="005D4570">
      <w:r>
        <w:t>Where it is not reasonably practicable to remove the potential fuel source(s) consider</w:t>
      </w:r>
      <w:r w:rsidR="002775A8">
        <w:t xml:space="preserve"> if it is possible </w:t>
      </w:r>
      <w:r>
        <w:t xml:space="preserve">to move the hot work to a lower risk area. </w:t>
      </w:r>
    </w:p>
    <w:p w14:paraId="2A4DE478" w14:textId="055E45A5" w:rsidR="005D4570" w:rsidRDefault="005D4570" w:rsidP="005D4570">
      <w:r>
        <w:lastRenderedPageBreak/>
        <w:t xml:space="preserve">When hot work is required and fuel sources in the vicinity cannot be removed in a reasonably practicable manner these fuel sources must be isolated or separated from the potential ignition source. </w:t>
      </w:r>
    </w:p>
    <w:p w14:paraId="59E72179" w14:textId="76299B47" w:rsidR="005D4570" w:rsidRDefault="005D4570" w:rsidP="005D4570">
      <w:r>
        <w:t xml:space="preserve">Fire blankets, or other </w:t>
      </w:r>
      <w:r w:rsidR="00B11923">
        <w:t>fire-resistant</w:t>
      </w:r>
      <w:r>
        <w:t xml:space="preserve"> materials may be used to isolate or separate the fuel source from the hot work. </w:t>
      </w:r>
    </w:p>
    <w:p w14:paraId="128A7167" w14:textId="1954C94C" w:rsidR="005D4570" w:rsidRPr="00154584" w:rsidRDefault="005D4570" w:rsidP="00154584">
      <w:pPr>
        <w:pStyle w:val="ListParagraph"/>
        <w:numPr>
          <w:ilvl w:val="0"/>
          <w:numId w:val="6"/>
        </w:numPr>
        <w:rPr>
          <w:b/>
          <w:bCs/>
        </w:rPr>
      </w:pPr>
      <w:r w:rsidRPr="00154584">
        <w:rPr>
          <w:b/>
          <w:bCs/>
        </w:rPr>
        <w:t xml:space="preserve">Heat or ignition sources </w:t>
      </w:r>
    </w:p>
    <w:p w14:paraId="55A07A0C" w14:textId="293DD433" w:rsidR="005D4570" w:rsidRDefault="005D4570" w:rsidP="005D4570">
      <w:r>
        <w:t>The likelihood of a fire increases if ignition sources (heat, sparks, molten spatter, slag)</w:t>
      </w:r>
      <w:r w:rsidR="002775A8">
        <w:t xml:space="preserve"> </w:t>
      </w:r>
      <w:r>
        <w:t xml:space="preserve">are allowed to travel beyond the locality of the hot work area.  </w:t>
      </w:r>
      <w:r w:rsidR="002775A8">
        <w:t>Preventing</w:t>
      </w:r>
      <w:r>
        <w:t xml:space="preserve"> ‘ignition source travel’ </w:t>
      </w:r>
      <w:r w:rsidR="002775A8">
        <w:t>can be achieved by the c</w:t>
      </w:r>
      <w:r>
        <w:t xml:space="preserve">ontainment </w:t>
      </w:r>
      <w:r w:rsidR="002775A8">
        <w:t>of s</w:t>
      </w:r>
      <w:r>
        <w:t>parks</w:t>
      </w:r>
      <w:r w:rsidR="002775A8">
        <w:t>,</w:t>
      </w:r>
      <w:r>
        <w:t xml:space="preserve"> slag</w:t>
      </w:r>
      <w:r w:rsidR="002775A8">
        <w:t xml:space="preserve"> and splatter by </w:t>
      </w:r>
      <w:r>
        <w:t>shielding, shrouding, boxing with overlapping fire blankets local to the hot work</w:t>
      </w:r>
      <w:r w:rsidR="002775A8">
        <w:t xml:space="preserve"> activity</w:t>
      </w:r>
      <w:r>
        <w:t xml:space="preserve">. </w:t>
      </w:r>
      <w:r w:rsidR="002775A8">
        <w:t xml:space="preserve">Particularly </w:t>
      </w:r>
      <w:r>
        <w:t>directly under</w:t>
      </w:r>
      <w:r w:rsidR="002775A8">
        <w:t xml:space="preserve"> </w:t>
      </w:r>
      <w:r>
        <w:t xml:space="preserve">the hot work area. </w:t>
      </w:r>
    </w:p>
    <w:p w14:paraId="3C2FAD9A" w14:textId="3D5F4EA7" w:rsidR="005D4570" w:rsidRDefault="005D4570" w:rsidP="005D4570">
      <w:r>
        <w:t xml:space="preserve">Heat </w:t>
      </w:r>
      <w:r w:rsidR="003769AF">
        <w:t>can travel</w:t>
      </w:r>
      <w:r>
        <w:t xml:space="preserve"> along conductive</w:t>
      </w:r>
      <w:r w:rsidR="003769AF">
        <w:t xml:space="preserve"> </w:t>
      </w:r>
      <w:r>
        <w:t>materials</w:t>
      </w:r>
      <w:r w:rsidR="003769AF">
        <w:t xml:space="preserve"> such as metal pipes</w:t>
      </w:r>
      <w:r>
        <w:t>. Consider cooling</w:t>
      </w:r>
      <w:r w:rsidR="003769AF">
        <w:t>/damping</w:t>
      </w:r>
      <w:r>
        <w:t xml:space="preserve"> and regular temperature checks as a means of arresting heat travel along the</w:t>
      </w:r>
      <w:r w:rsidR="003769AF">
        <w:t xml:space="preserve"> </w:t>
      </w:r>
      <w:r>
        <w:t xml:space="preserve">conductive material. </w:t>
      </w:r>
    </w:p>
    <w:p w14:paraId="78352B42" w14:textId="4645A83C" w:rsidR="005D4570" w:rsidRDefault="003769AF" w:rsidP="005D4570">
      <w:r>
        <w:t>Heat r</w:t>
      </w:r>
      <w:r w:rsidR="005D4570">
        <w:t xml:space="preserve">adiation </w:t>
      </w:r>
      <w:r>
        <w:t xml:space="preserve">can travel </w:t>
      </w:r>
      <w:r w:rsidR="005D4570">
        <w:t>across open distances.</w:t>
      </w:r>
      <w:r>
        <w:t xml:space="preserve"> </w:t>
      </w:r>
      <w:r w:rsidR="005D4570">
        <w:t>Consider shielding (adjacent,</w:t>
      </w:r>
      <w:r>
        <w:t xml:space="preserve"> </w:t>
      </w:r>
      <w:r w:rsidR="005D4570">
        <w:t xml:space="preserve">above and below) as a means of </w:t>
      </w:r>
      <w:r>
        <w:t>control</w:t>
      </w:r>
      <w:r w:rsidR="005D4570">
        <w:t xml:space="preserve"> </w:t>
      </w:r>
    </w:p>
    <w:p w14:paraId="296AB21B" w14:textId="4B97457D" w:rsidR="005D4570" w:rsidRDefault="005D4570" w:rsidP="005D4570">
      <w:r>
        <w:t>Electric</w:t>
      </w:r>
      <w:r w:rsidR="003769AF">
        <w:t xml:space="preserve">al arcing can </w:t>
      </w:r>
      <w:r>
        <w:t>creat</w:t>
      </w:r>
      <w:r w:rsidR="003769AF">
        <w:t>e</w:t>
      </w:r>
      <w:r>
        <w:t xml:space="preserve"> the potential for</w:t>
      </w:r>
      <w:r w:rsidR="003769AF">
        <w:t xml:space="preserve"> </w:t>
      </w:r>
      <w:r>
        <w:t xml:space="preserve">sparking </w:t>
      </w:r>
      <w:r w:rsidR="003769AF">
        <w:t>in</w:t>
      </w:r>
      <w:r>
        <w:t xml:space="preserve"> remote areas. Ensure </w:t>
      </w:r>
      <w:r w:rsidR="003769AF">
        <w:t>the</w:t>
      </w:r>
      <w:r>
        <w:t xml:space="preserve"> earthing</w:t>
      </w:r>
      <w:r w:rsidR="003769AF">
        <w:t xml:space="preserve"> of welding cables is as close as possible to the object being welded.</w:t>
      </w:r>
      <w:r>
        <w:t xml:space="preserve"> </w:t>
      </w:r>
    </w:p>
    <w:p w14:paraId="7D3F7139" w14:textId="5596FB1E" w:rsidR="005D4570" w:rsidRPr="00154584" w:rsidRDefault="005D4570" w:rsidP="00154584">
      <w:pPr>
        <w:pStyle w:val="ListParagraph"/>
        <w:numPr>
          <w:ilvl w:val="0"/>
          <w:numId w:val="6"/>
        </w:numPr>
        <w:rPr>
          <w:b/>
          <w:bCs/>
        </w:rPr>
      </w:pPr>
      <w:r w:rsidRPr="00154584">
        <w:rPr>
          <w:b/>
          <w:bCs/>
        </w:rPr>
        <w:t xml:space="preserve">Oxygen </w:t>
      </w:r>
    </w:p>
    <w:p w14:paraId="4F2C77E3" w14:textId="7EBB7EA4" w:rsidR="005D4570" w:rsidRDefault="005D4570" w:rsidP="005D4570">
      <w:r>
        <w:t xml:space="preserve">Oxygen is the most difficult element to control for general hot </w:t>
      </w:r>
      <w:r w:rsidR="00B11923">
        <w:t>work;</w:t>
      </w:r>
      <w:r w:rsidR="003769AF">
        <w:t xml:space="preserve"> h</w:t>
      </w:r>
      <w:r>
        <w:t>owever</w:t>
      </w:r>
      <w:r w:rsidR="003769AF">
        <w:t>, it can</w:t>
      </w:r>
      <w:r>
        <w:t xml:space="preserve"> be eliminated </w:t>
      </w:r>
      <w:r w:rsidR="003769AF">
        <w:t>by smothering</w:t>
      </w:r>
      <w:r w:rsidR="009A64C8">
        <w:t xml:space="preserve"> </w:t>
      </w:r>
      <w:r w:rsidR="008F4289">
        <w:t xml:space="preserve">the </w:t>
      </w:r>
      <w:r w:rsidR="009A64C8">
        <w:t xml:space="preserve">fuel source </w:t>
      </w:r>
      <w:r w:rsidR="008F4289">
        <w:t xml:space="preserve">with a foam blanket </w:t>
      </w:r>
      <w:r w:rsidR="009A64C8">
        <w:t>(wooden floors for example).</w:t>
      </w:r>
    </w:p>
    <w:p w14:paraId="63D8923F" w14:textId="17B7F2E3" w:rsidR="005D4570" w:rsidRPr="00154584" w:rsidRDefault="009A64C8" w:rsidP="00154584">
      <w:pPr>
        <w:pStyle w:val="ListParagraph"/>
        <w:numPr>
          <w:ilvl w:val="0"/>
          <w:numId w:val="6"/>
        </w:numPr>
        <w:rPr>
          <w:b/>
          <w:bCs/>
        </w:rPr>
      </w:pPr>
      <w:r w:rsidRPr="00154584">
        <w:rPr>
          <w:b/>
          <w:bCs/>
        </w:rPr>
        <w:t>Firefighting</w:t>
      </w:r>
      <w:r w:rsidR="005D4570" w:rsidRPr="00154584">
        <w:rPr>
          <w:b/>
          <w:bCs/>
        </w:rPr>
        <w:t xml:space="preserve"> equipment </w:t>
      </w:r>
    </w:p>
    <w:p w14:paraId="3FE2DF94" w14:textId="1C4D9540" w:rsidR="00BB47C9" w:rsidRDefault="005D4570" w:rsidP="005D4570">
      <w:r>
        <w:t>The type of fire</w:t>
      </w:r>
      <w:r w:rsidR="009A64C8">
        <w:t xml:space="preserve">fighting equipment required for hot work activities is largely dependent upon the type of fuel that could </w:t>
      </w:r>
      <w:r w:rsidR="00A033C3">
        <w:t xml:space="preserve">be </w:t>
      </w:r>
      <w:r w:rsidR="009A64C8">
        <w:t xml:space="preserve">ignited. </w:t>
      </w:r>
      <w:r w:rsidR="00A033C3">
        <w:t xml:space="preserve">A </w:t>
      </w:r>
      <w:r>
        <w:t xml:space="preserve">charged </w:t>
      </w:r>
      <w:r w:rsidR="00A033C3">
        <w:t>water</w:t>
      </w:r>
      <w:r>
        <w:t xml:space="preserve"> hose</w:t>
      </w:r>
      <w:r w:rsidR="00A033C3">
        <w:t xml:space="preserve"> or extinguisher </w:t>
      </w:r>
      <w:r w:rsidR="00BB47C9">
        <w:t xml:space="preserve">would be suitable for most solid materials such as wood, cardboard or paper. A </w:t>
      </w:r>
      <w:r>
        <w:t>foam extinguisher</w:t>
      </w:r>
      <w:r w:rsidR="00BB47C9">
        <w:t xml:space="preserve"> would be used to tackle flammable liquids. P</w:t>
      </w:r>
      <w:r>
        <w:t>owder</w:t>
      </w:r>
      <w:r w:rsidR="00BB47C9">
        <w:t xml:space="preserve"> or CO2</w:t>
      </w:r>
      <w:r>
        <w:t xml:space="preserve"> extinguisher</w:t>
      </w:r>
      <w:r w:rsidR="00BB47C9">
        <w:t>s would be used on electrical fires.</w:t>
      </w:r>
      <w:r>
        <w:t xml:space="preserve">  </w:t>
      </w:r>
    </w:p>
    <w:p w14:paraId="5F4128E3" w14:textId="18465F52" w:rsidR="005D4570" w:rsidRDefault="005D4570" w:rsidP="005D4570">
      <w:r>
        <w:t xml:space="preserve">Hot work operations must cease immediately if the </w:t>
      </w:r>
      <w:r w:rsidR="00BB47C9">
        <w:t>firefighting</w:t>
      </w:r>
      <w:r>
        <w:t xml:space="preserve"> equipment is deployed to fight a fire resulting from the hot work activity.  The incident must be reported to the permit issuer</w:t>
      </w:r>
      <w:r w:rsidR="00BB47C9">
        <w:t xml:space="preserve"> who will review the control measures and ensure the firefighting equipment is</w:t>
      </w:r>
      <w:r>
        <w:t xml:space="preserve"> replenished</w:t>
      </w:r>
      <w:r w:rsidR="00BB47C9">
        <w:t>.</w:t>
      </w:r>
      <w:r>
        <w:t xml:space="preserve"> </w:t>
      </w:r>
    </w:p>
    <w:p w14:paraId="180CEF75" w14:textId="77777777" w:rsidR="00777817" w:rsidRDefault="00777817" w:rsidP="00777817">
      <w:pPr>
        <w:rPr>
          <w:b/>
          <w:bCs/>
        </w:rPr>
      </w:pPr>
    </w:p>
    <w:p w14:paraId="75D3BF33" w14:textId="495DB849" w:rsidR="00777817" w:rsidRPr="00154584" w:rsidRDefault="00154584" w:rsidP="0077781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Policy adopted</w:t>
      </w:r>
      <w:r w:rsidR="00777817" w:rsidRPr="00154584">
        <w:rPr>
          <w:b/>
          <w:bCs/>
          <w:sz w:val="24"/>
          <w:szCs w:val="24"/>
        </w:rPr>
        <w:t xml:space="preserve"> by the East Bridgford </w:t>
      </w:r>
      <w:bookmarkStart w:id="0" w:name="_Hlk201046389"/>
      <w:r w:rsidR="00777817" w:rsidRPr="00154584">
        <w:rPr>
          <w:b/>
          <w:bCs/>
          <w:sz w:val="24"/>
          <w:szCs w:val="24"/>
        </w:rPr>
        <w:t>Village Hall Management Committee</w:t>
      </w:r>
      <w:bookmarkEnd w:id="0"/>
    </w:p>
    <w:p w14:paraId="67B43518" w14:textId="77777777" w:rsidR="00154584" w:rsidRDefault="00154584" w:rsidP="00777817">
      <w:pPr>
        <w:rPr>
          <w:b/>
          <w:bCs/>
          <w:sz w:val="24"/>
          <w:szCs w:val="24"/>
        </w:rPr>
      </w:pPr>
    </w:p>
    <w:p w14:paraId="575B0C39" w14:textId="456B8BA8" w:rsidR="00777817" w:rsidRPr="00154584" w:rsidRDefault="008F4289" w:rsidP="00777817">
      <w:pPr>
        <w:rPr>
          <w:b/>
          <w:bCs/>
          <w:sz w:val="24"/>
          <w:szCs w:val="24"/>
        </w:rPr>
      </w:pPr>
      <w:r w:rsidRPr="00154584">
        <w:rPr>
          <w:b/>
          <w:bCs/>
          <w:sz w:val="24"/>
          <w:szCs w:val="24"/>
        </w:rPr>
        <w:t>S</w:t>
      </w:r>
      <w:r w:rsidR="00777817" w:rsidRPr="00154584">
        <w:rPr>
          <w:b/>
          <w:bCs/>
          <w:sz w:val="24"/>
          <w:szCs w:val="24"/>
        </w:rPr>
        <w:t xml:space="preserve">igned by the Village Hall Management Committee </w:t>
      </w:r>
      <w:r w:rsidR="00B11923" w:rsidRPr="00154584">
        <w:rPr>
          <w:b/>
          <w:bCs/>
          <w:sz w:val="24"/>
          <w:szCs w:val="24"/>
        </w:rPr>
        <w:t>Chairperson</w:t>
      </w:r>
      <w:r w:rsidR="008F5365">
        <w:rPr>
          <w:b/>
          <w:bCs/>
          <w:noProof/>
          <w:sz w:val="24"/>
          <w:szCs w:val="24"/>
        </w:rPr>
        <w:drawing>
          <wp:inline distT="0" distB="0" distL="0" distR="0" wp14:anchorId="594FEAE5" wp14:editId="432B5A71">
            <wp:extent cx="989351" cy="434146"/>
            <wp:effectExtent l="0" t="0" r="1270" b="0"/>
            <wp:docPr id="1734935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935716" name="Picture 17349357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2489" cy="44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0DAEB" w14:textId="77777777" w:rsidR="00777817" w:rsidRPr="00154584" w:rsidRDefault="00777817" w:rsidP="00777817">
      <w:pPr>
        <w:rPr>
          <w:b/>
          <w:bCs/>
          <w:sz w:val="24"/>
          <w:szCs w:val="24"/>
        </w:rPr>
      </w:pPr>
    </w:p>
    <w:p w14:paraId="7CDF8705" w14:textId="1822FE49" w:rsidR="00777817" w:rsidRPr="00154584" w:rsidRDefault="00777817" w:rsidP="005D4570">
      <w:pPr>
        <w:rPr>
          <w:sz w:val="24"/>
          <w:szCs w:val="24"/>
        </w:rPr>
      </w:pPr>
      <w:r w:rsidRPr="00154584">
        <w:rPr>
          <w:b/>
          <w:bCs/>
          <w:sz w:val="24"/>
          <w:szCs w:val="24"/>
        </w:rPr>
        <w:t xml:space="preserve">Date </w:t>
      </w:r>
      <w:r w:rsidR="008F5365">
        <w:rPr>
          <w:b/>
          <w:bCs/>
          <w:sz w:val="24"/>
          <w:szCs w:val="24"/>
        </w:rPr>
        <w:t>12/01/2026</w:t>
      </w:r>
    </w:p>
    <w:p w14:paraId="311C671B" w14:textId="77777777" w:rsidR="00E11EF0" w:rsidRDefault="00E11E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9EC540D" w14:textId="77B99AF3" w:rsidR="00E11EF0" w:rsidRDefault="008F4289">
      <w:r>
        <w:rPr>
          <w:b/>
          <w:bCs/>
          <w:sz w:val="28"/>
          <w:szCs w:val="28"/>
        </w:rPr>
        <w:lastRenderedPageBreak/>
        <w:t>Appendix</w:t>
      </w:r>
      <w:r w:rsidR="004E56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</w:t>
      </w:r>
      <w:r w:rsidR="00715959" w:rsidRPr="00715959">
        <w:rPr>
          <w:b/>
          <w:bCs/>
          <w:sz w:val="28"/>
          <w:szCs w:val="28"/>
        </w:rPr>
        <w:t xml:space="preserve"> </w:t>
      </w:r>
      <w:r w:rsidR="00715959" w:rsidRPr="00715959">
        <w:rPr>
          <w:noProof/>
        </w:rPr>
        <w:drawing>
          <wp:inline distT="0" distB="0" distL="0" distR="0" wp14:anchorId="56AD6792" wp14:editId="7D99955B">
            <wp:extent cx="5731510" cy="8531860"/>
            <wp:effectExtent l="0" t="0" r="2540" b="2540"/>
            <wp:docPr id="1645964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53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1EF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5F1CB" w14:textId="77777777" w:rsidR="002176D3" w:rsidRDefault="002176D3" w:rsidP="00001A75">
      <w:pPr>
        <w:spacing w:after="0" w:line="240" w:lineRule="auto"/>
      </w:pPr>
      <w:r>
        <w:separator/>
      </w:r>
    </w:p>
  </w:endnote>
  <w:endnote w:type="continuationSeparator" w:id="0">
    <w:p w14:paraId="5A45E3EE" w14:textId="77777777" w:rsidR="002176D3" w:rsidRDefault="002176D3" w:rsidP="00001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397B" w14:textId="7D664D8C" w:rsidR="00001A75" w:rsidRPr="0008350B" w:rsidRDefault="00001A75" w:rsidP="0008350B">
    <w:pPr>
      <w:pStyle w:val="Footer"/>
      <w:jc w:val="right"/>
      <w:rPr>
        <w:sz w:val="16"/>
        <w:szCs w:val="16"/>
      </w:rPr>
    </w:pPr>
    <w:r w:rsidRPr="0008350B">
      <w:rPr>
        <w:sz w:val="16"/>
        <w:szCs w:val="16"/>
      </w:rPr>
      <w:t>V</w:t>
    </w:r>
    <w:r w:rsidR="0008350B" w:rsidRPr="0008350B">
      <w:rPr>
        <w:sz w:val="16"/>
        <w:szCs w:val="16"/>
      </w:rPr>
      <w:t xml:space="preserve"> </w:t>
    </w:r>
    <w:r w:rsidRPr="0008350B">
      <w:rPr>
        <w:sz w:val="16"/>
        <w:szCs w:val="16"/>
      </w:rPr>
      <w:t>1.0</w:t>
    </w:r>
    <w:r w:rsidR="0008350B" w:rsidRPr="0008350B">
      <w:rPr>
        <w:sz w:val="16"/>
        <w:szCs w:val="16"/>
      </w:rPr>
      <w:t xml:space="preserve"> </w:t>
    </w:r>
    <w:proofErr w:type="gramStart"/>
    <w:r w:rsidR="0008350B" w:rsidRPr="0008350B">
      <w:rPr>
        <w:sz w:val="16"/>
        <w:szCs w:val="16"/>
      </w:rPr>
      <w:t xml:space="preserve">   (</w:t>
    </w:r>
    <w:proofErr w:type="gramEnd"/>
    <w:r w:rsidR="0008350B" w:rsidRPr="0008350B">
      <w:rPr>
        <w:sz w:val="16"/>
        <w:szCs w:val="16"/>
      </w:rPr>
      <w:t>11/10/25)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9CB67" w14:textId="77777777" w:rsidR="002176D3" w:rsidRDefault="002176D3" w:rsidP="00001A75">
      <w:pPr>
        <w:spacing w:after="0" w:line="240" w:lineRule="auto"/>
      </w:pPr>
      <w:r>
        <w:separator/>
      </w:r>
    </w:p>
  </w:footnote>
  <w:footnote w:type="continuationSeparator" w:id="0">
    <w:p w14:paraId="7330F6D9" w14:textId="77777777" w:rsidR="002176D3" w:rsidRDefault="002176D3" w:rsidP="00001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09A"/>
    <w:multiLevelType w:val="hybridMultilevel"/>
    <w:tmpl w:val="BC6055C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D10E1"/>
    <w:multiLevelType w:val="hybridMultilevel"/>
    <w:tmpl w:val="8ECE0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8D73EA"/>
    <w:multiLevelType w:val="hybridMultilevel"/>
    <w:tmpl w:val="843C80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AE2F822">
      <w:start w:val="2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2481246">
      <w:start w:val="2"/>
      <w:numFmt w:val="bullet"/>
      <w:lvlText w:val="•"/>
      <w:lvlJc w:val="left"/>
      <w:pPr>
        <w:ind w:left="3240" w:hanging="360"/>
      </w:pPr>
      <w:rPr>
        <w:rFonts w:ascii="Aptos" w:eastAsiaTheme="minorHAnsi" w:hAnsi="Aptos" w:cstheme="minorBidi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FC41A2"/>
    <w:multiLevelType w:val="hybridMultilevel"/>
    <w:tmpl w:val="A762EB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F10AC4"/>
    <w:multiLevelType w:val="hybridMultilevel"/>
    <w:tmpl w:val="DDBC25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40433"/>
    <w:multiLevelType w:val="hybridMultilevel"/>
    <w:tmpl w:val="A6E62DB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6272259">
    <w:abstractNumId w:val="2"/>
  </w:num>
  <w:num w:numId="2" w16cid:durableId="984512356">
    <w:abstractNumId w:val="0"/>
  </w:num>
  <w:num w:numId="3" w16cid:durableId="1182014117">
    <w:abstractNumId w:val="4"/>
  </w:num>
  <w:num w:numId="4" w16cid:durableId="1341080222">
    <w:abstractNumId w:val="5"/>
  </w:num>
  <w:num w:numId="5" w16cid:durableId="860631441">
    <w:abstractNumId w:val="1"/>
  </w:num>
  <w:num w:numId="6" w16cid:durableId="1578900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570"/>
    <w:rsid w:val="00001A75"/>
    <w:rsid w:val="000102BD"/>
    <w:rsid w:val="00022D64"/>
    <w:rsid w:val="0008350B"/>
    <w:rsid w:val="00154584"/>
    <w:rsid w:val="0015676E"/>
    <w:rsid w:val="00181B25"/>
    <w:rsid w:val="001B0ACF"/>
    <w:rsid w:val="002176D3"/>
    <w:rsid w:val="002775A8"/>
    <w:rsid w:val="00277CE2"/>
    <w:rsid w:val="00280C71"/>
    <w:rsid w:val="002A524D"/>
    <w:rsid w:val="002B48CE"/>
    <w:rsid w:val="00311EB0"/>
    <w:rsid w:val="00357ABA"/>
    <w:rsid w:val="003769AF"/>
    <w:rsid w:val="0049385B"/>
    <w:rsid w:val="004E4D5F"/>
    <w:rsid w:val="004E56F0"/>
    <w:rsid w:val="00547DFE"/>
    <w:rsid w:val="005C3BB9"/>
    <w:rsid w:val="005D4570"/>
    <w:rsid w:val="00617189"/>
    <w:rsid w:val="00715959"/>
    <w:rsid w:val="00777817"/>
    <w:rsid w:val="00785696"/>
    <w:rsid w:val="00810293"/>
    <w:rsid w:val="008846FF"/>
    <w:rsid w:val="008F4289"/>
    <w:rsid w:val="008F5365"/>
    <w:rsid w:val="00960B59"/>
    <w:rsid w:val="009A64C8"/>
    <w:rsid w:val="009A79EF"/>
    <w:rsid w:val="00A03124"/>
    <w:rsid w:val="00A033C3"/>
    <w:rsid w:val="00A27A8C"/>
    <w:rsid w:val="00AD0F81"/>
    <w:rsid w:val="00B11923"/>
    <w:rsid w:val="00B536DA"/>
    <w:rsid w:val="00BB47C9"/>
    <w:rsid w:val="00D015AE"/>
    <w:rsid w:val="00D36ADE"/>
    <w:rsid w:val="00DF6288"/>
    <w:rsid w:val="00E11EF0"/>
    <w:rsid w:val="00F0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0F6E3"/>
  <w15:chartTrackingRefBased/>
  <w15:docId w15:val="{41E2B8FB-7E9A-4C0C-AAA8-AF59B715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5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5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5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5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5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5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5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5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5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5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5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1A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A75"/>
  </w:style>
  <w:style w:type="paragraph" w:styleId="Footer">
    <w:name w:val="footer"/>
    <w:basedOn w:val="Normal"/>
    <w:link w:val="FooterChar"/>
    <w:uiPriority w:val="99"/>
    <w:unhideWhenUsed/>
    <w:rsid w:val="00001A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Coupland</dc:creator>
  <cp:keywords/>
  <dc:description/>
  <cp:lastModifiedBy>Rowena Dawson</cp:lastModifiedBy>
  <cp:revision>19</cp:revision>
  <cp:lastPrinted>2025-10-10T16:38:00Z</cp:lastPrinted>
  <dcterms:created xsi:type="dcterms:W3CDTF">2025-10-10T13:20:00Z</dcterms:created>
  <dcterms:modified xsi:type="dcterms:W3CDTF">2026-01-12T17:35:00Z</dcterms:modified>
</cp:coreProperties>
</file>